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A0932F" w14:textId="77777777" w:rsidR="00D5242B" w:rsidRPr="00BC3E58" w:rsidRDefault="00D5242B" w:rsidP="00D5242B">
      <w:pPr>
        <w:spacing w:after="120" w:line="271" w:lineRule="auto"/>
        <w:rPr>
          <w:rFonts w:ascii="Arial" w:hAnsi="Arial" w:cs="Arial"/>
          <w:i/>
          <w:iCs/>
          <w:color w:val="30206B" w:themeColor="text1"/>
          <w:sz w:val="22"/>
          <w:szCs w:val="22"/>
          <w:lang w:val="en-US"/>
        </w:rPr>
      </w:pPr>
      <w:r w:rsidRPr="00BC3E58">
        <w:rPr>
          <w:i/>
          <w:iCs/>
          <w:noProof/>
          <w:color w:val="30206B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ACAA8DF" wp14:editId="1210DBDA">
            <wp:simplePos x="0" y="0"/>
            <wp:positionH relativeFrom="column">
              <wp:posOffset>1270</wp:posOffset>
            </wp:positionH>
            <wp:positionV relativeFrom="paragraph">
              <wp:posOffset>-136706</wp:posOffset>
            </wp:positionV>
            <wp:extent cx="985520" cy="285750"/>
            <wp:effectExtent l="0" t="0" r="508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IHR_Horizontal_Logo_1200p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B37E8" w14:textId="28AD8BCD" w:rsidR="00F66B15" w:rsidRPr="001668F2" w:rsidRDefault="00D5242B" w:rsidP="001668F2">
      <w:pPr>
        <w:spacing w:after="200" w:line="271" w:lineRule="auto"/>
        <w:rPr>
          <w:rFonts w:ascii="Arial" w:hAnsi="Arial" w:cs="Arial"/>
          <w:b/>
          <w:bCs/>
          <w:color w:val="30206B" w:themeColor="text1"/>
          <w:sz w:val="52"/>
          <w:szCs w:val="52"/>
          <w:lang w:val="en-US"/>
        </w:rPr>
      </w:pPr>
      <w:r w:rsidRPr="001668F2">
        <w:rPr>
          <w:rFonts w:ascii="Arial" w:hAnsi="Arial" w:cs="Arial"/>
          <w:i/>
          <w:iCs/>
          <w:noProof/>
          <w:color w:val="30206B" w:themeColor="text1"/>
          <w:sz w:val="52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3118C5" wp14:editId="189F87FE">
                <wp:simplePos x="0" y="0"/>
                <wp:positionH relativeFrom="column">
                  <wp:posOffset>0</wp:posOffset>
                </wp:positionH>
                <wp:positionV relativeFrom="paragraph">
                  <wp:posOffset>443139</wp:posOffset>
                </wp:positionV>
                <wp:extent cx="6336000" cy="0"/>
                <wp:effectExtent l="0" t="12700" r="27305" b="25400"/>
                <wp:wrapNone/>
                <wp:docPr id="19113764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36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0EE43E" id="Straight Connector 1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4.9pt" to="498.9pt,34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" strokecolor="#1ebbf0 [3215]" strokeweight="3pt">
                <v:stroke joinstyle="miter"/>
              </v:line>
            </w:pict>
          </mc:Fallback>
        </mc:AlternateContent>
      </w:r>
      <w:r w:rsidR="00BC3E58" w:rsidRPr="001668F2">
        <w:rPr>
          <w:rFonts w:ascii="Arial" w:hAnsi="Arial" w:cs="Arial"/>
          <w:b/>
          <w:bCs/>
          <w:color w:val="30206B" w:themeColor="text1"/>
          <w:sz w:val="52"/>
          <w:szCs w:val="52"/>
          <w:lang w:val="en-US"/>
        </w:rPr>
        <w:t>Progressive Discipline Policy</w:t>
      </w:r>
      <w:r w:rsidR="001668F2" w:rsidRPr="001668F2">
        <w:rPr>
          <w:rFonts w:ascii="Arial" w:hAnsi="Arial" w:cs="Arial"/>
          <w:b/>
          <w:bCs/>
          <w:color w:val="30206B" w:themeColor="text1"/>
          <w:sz w:val="52"/>
          <w:szCs w:val="52"/>
          <w:lang w:val="en-US"/>
        </w:rPr>
        <w:t xml:space="preserve"> Template</w:t>
      </w:r>
    </w:p>
    <w:p w14:paraId="13DCA436" w14:textId="37714382" w:rsidR="00221D3C" w:rsidRPr="00BC3E58" w:rsidRDefault="00BC3E58" w:rsidP="00E961A9">
      <w:pPr>
        <w:spacing w:line="271" w:lineRule="auto"/>
        <w:rPr>
          <w:rFonts w:ascii="Arial" w:hAnsi="Arial" w:cs="Arial"/>
          <w:i/>
          <w:iCs/>
          <w:color w:val="30206B" w:themeColor="text1"/>
          <w:sz w:val="26"/>
          <w:szCs w:val="26"/>
          <w:lang w:val="en-US"/>
        </w:rPr>
      </w:pPr>
      <w:r w:rsidRPr="00BC3E58">
        <w:rPr>
          <w:rFonts w:ascii="Arial" w:hAnsi="Arial" w:cs="Arial"/>
          <w:i/>
          <w:iCs/>
          <w:color w:val="30206B" w:themeColor="text1"/>
          <w:sz w:val="26"/>
          <w:szCs w:val="26"/>
          <w:highlight w:val="yellow"/>
          <w:lang w:val="en-US"/>
        </w:rPr>
        <w:t xml:space="preserve">[Company </w:t>
      </w:r>
      <w:r>
        <w:rPr>
          <w:rFonts w:ascii="Arial" w:hAnsi="Arial" w:cs="Arial"/>
          <w:i/>
          <w:iCs/>
          <w:color w:val="30206B" w:themeColor="text1"/>
          <w:sz w:val="26"/>
          <w:szCs w:val="26"/>
          <w:highlight w:val="yellow"/>
          <w:lang w:val="en-US"/>
        </w:rPr>
        <w:t>N</w:t>
      </w:r>
      <w:r w:rsidRPr="00BC3E58">
        <w:rPr>
          <w:rFonts w:ascii="Arial" w:hAnsi="Arial" w:cs="Arial"/>
          <w:i/>
          <w:iCs/>
          <w:color w:val="30206B" w:themeColor="text1"/>
          <w:sz w:val="26"/>
          <w:szCs w:val="26"/>
          <w:highlight w:val="yellow"/>
          <w:lang w:val="en-US"/>
        </w:rPr>
        <w:t>ame]</w:t>
      </w:r>
    </w:p>
    <w:p w14:paraId="15F4AD7A" w14:textId="088EE582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  <w:sz w:val="22"/>
          <w:szCs w:val="22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This template gives you a ready structure for a progressive discipline policy. Replace the bracketed text with your organization’s details, then adapt the steps, timeframes, and examples to fit your workplace and local laws.</w:t>
      </w:r>
      <w:r>
        <w:rPr>
          <w:rFonts w:ascii="Arial" w:eastAsia="IBM Plex Sans" w:hAnsi="Arial" w:cs="Arial"/>
          <w:color w:val="30206B" w:themeColor="text1"/>
          <w:sz w:val="22"/>
          <w:szCs w:val="22"/>
        </w:rPr>
        <w:br/>
      </w:r>
    </w:p>
    <w:p w14:paraId="66AFE43B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1. Purpose and scope</w:t>
      </w:r>
    </w:p>
    <w:p w14:paraId="04D38D25" w14:textId="101ECC43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[Company Name]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uses progressive discipline to address performance and conduct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concerns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with fairness, structure, and respect for employees.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This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document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applies to all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[employees and contractors]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and covers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 xml:space="preserve">[performance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  <w:lang w:val="en-US"/>
        </w:rPr>
        <w:t>gaps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, misconduct, and policy violations]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. Its goal is to correct issues early and support improvement, not to punish.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42DA7286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2. Definitions</w:t>
      </w:r>
    </w:p>
    <w:p w14:paraId="51684D5B" w14:textId="77777777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For clarity, these terms are used throughout this policy:</w:t>
      </w:r>
    </w:p>
    <w:p w14:paraId="296C6B42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Progressive discipline: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A structured process that gives employees feedback, support, and time to correct behavior or performance before stronger action is taken.</w:t>
      </w:r>
    </w:p>
    <w:p w14:paraId="3F5B9C97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Misconduct: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Behavior that breaches company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rules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, such as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[tardiness, insubordination, or safety violations]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.</w:t>
      </w:r>
    </w:p>
    <w:p w14:paraId="38932FFD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Performance issue: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A failure to meet the standards or objectives set for the role.</w:t>
      </w:r>
    </w:p>
    <w:p w14:paraId="01A4BC4E" w14:textId="2FE8C6C9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Gross misconduct: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Serious behavior that may justify immediate suspension or termination, such as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[violence, theft, harassment, or a major safety violation]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27D8A313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3. Guiding principles</w:t>
      </w:r>
    </w:p>
    <w:p w14:paraId="3CF4E639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before="240"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  <w:lang w:val="en-US"/>
        </w:rPr>
        <w:t>Equal treatment</w:t>
      </w: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Similar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situations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are handled in a similar way, regardless of who is involved.</w:t>
      </w:r>
    </w:p>
    <w:p w14:paraId="1A30E147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Corrective, not punitive: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The aim is to help employees meet expectations.</w:t>
      </w:r>
    </w:p>
    <w:p w14:paraId="603F2460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Documented: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Every step is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captured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to support fairness and compliance.</w:t>
      </w:r>
    </w:p>
    <w:p w14:paraId="716370EE" w14:textId="3E6B27F5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Confidential: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Files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are stored securely and shared only on a need-to-know basis.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0EF0568C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4. The progressive discipline steps</w:t>
      </w:r>
    </w:p>
    <w:p w14:paraId="3534E48B" w14:textId="030E89B5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  <w:sz w:val="21"/>
          <w:szCs w:val="21"/>
          <w:lang w:val="en-US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 xml:space="preserve">Most cases follow four steps. Serious misconduct may begin later in the process, as described in </w:t>
      </w:r>
      <w:r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s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ection 6.</w:t>
      </w:r>
    </w:p>
    <w:tbl>
      <w:tblPr>
        <w:tblW w:w="10201" w:type="dxa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  <w:gridCol w:w="2550"/>
        <w:gridCol w:w="2551"/>
      </w:tblGrid>
      <w:tr w:rsidR="00BC3E58" w:rsidRPr="00BC3E58" w14:paraId="0BD2BA5B" w14:textId="77777777" w:rsidTr="00BC3E58">
        <w:trPr>
          <w:tblHeader/>
        </w:trPr>
        <w:tc>
          <w:tcPr>
            <w:tcW w:w="2550" w:type="dxa"/>
            <w:shd w:val="clear" w:color="auto" w:fill="3020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07E5D" w14:textId="77777777" w:rsidR="00BC3E58" w:rsidRPr="00BC3E58" w:rsidRDefault="00BC3E58" w:rsidP="00BC3E58">
            <w:pPr>
              <w:spacing w:line="271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BC3E58">
              <w:rPr>
                <w:rFonts w:ascii="Arial" w:eastAsia="IBM Plex Sans" w:hAnsi="Arial" w:cs="Arial"/>
                <w:b/>
                <w:bCs/>
                <w:color w:val="FFFFFF" w:themeColor="background1"/>
                <w:sz w:val="22"/>
                <w:szCs w:val="22"/>
              </w:rPr>
              <w:lastRenderedPageBreak/>
              <w:t>Step</w:t>
            </w:r>
          </w:p>
        </w:tc>
        <w:tc>
          <w:tcPr>
            <w:tcW w:w="2550" w:type="dxa"/>
            <w:shd w:val="clear" w:color="auto" w:fill="3020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C95C4" w14:textId="77777777" w:rsidR="00BC3E58" w:rsidRPr="00BC3E58" w:rsidRDefault="00BC3E58" w:rsidP="00BC3E58">
            <w:pPr>
              <w:spacing w:line="271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BC3E58">
              <w:rPr>
                <w:rFonts w:ascii="Arial" w:eastAsia="IBM Plex Sans" w:hAnsi="Arial" w:cs="Arial"/>
                <w:b/>
                <w:bCs/>
                <w:color w:val="FFFFFF" w:themeColor="background1"/>
                <w:sz w:val="22"/>
                <w:szCs w:val="22"/>
              </w:rPr>
              <w:t>Typical trigger</w:t>
            </w:r>
          </w:p>
        </w:tc>
        <w:tc>
          <w:tcPr>
            <w:tcW w:w="2550" w:type="dxa"/>
            <w:shd w:val="clear" w:color="auto" w:fill="3020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A7431" w14:textId="77777777" w:rsidR="00BC3E58" w:rsidRPr="00BC3E58" w:rsidRDefault="00BC3E58" w:rsidP="00BC3E58">
            <w:pPr>
              <w:spacing w:line="271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BC3E58">
              <w:rPr>
                <w:rFonts w:ascii="Arial" w:eastAsia="IBM Plex Sans" w:hAnsi="Arial" w:cs="Arial"/>
                <w:b/>
                <w:bCs/>
                <w:color w:val="FFFFFF" w:themeColor="background1"/>
                <w:sz w:val="22"/>
                <w:szCs w:val="22"/>
              </w:rPr>
              <w:t>Action</w:t>
            </w:r>
          </w:p>
        </w:tc>
        <w:tc>
          <w:tcPr>
            <w:tcW w:w="2551" w:type="dxa"/>
            <w:shd w:val="clear" w:color="auto" w:fill="3020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085C88" w14:textId="77777777" w:rsidR="00BC3E58" w:rsidRPr="00BC3E58" w:rsidRDefault="00BC3E58" w:rsidP="00BC3E58">
            <w:pPr>
              <w:spacing w:line="271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BC3E58">
              <w:rPr>
                <w:rFonts w:ascii="Arial" w:eastAsia="IBM Plex Sans" w:hAnsi="Arial" w:cs="Arial"/>
                <w:b/>
                <w:bCs/>
                <w:color w:val="FFFFFF" w:themeColor="background1"/>
                <w:sz w:val="22"/>
                <w:szCs w:val="22"/>
              </w:rPr>
              <w:t>Documentation</w:t>
            </w:r>
          </w:p>
        </w:tc>
      </w:tr>
      <w:tr w:rsidR="00BC3E58" w:rsidRPr="00BC3E58" w14:paraId="4BE49357" w14:textId="77777777" w:rsidTr="00BC3E58">
        <w:trPr>
          <w:tblHeader/>
        </w:trPr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3EC95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Verbal warning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7DA74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Minor or first-time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incidents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, like occasional lateness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49B89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A private conversation about the issue and the change needed</w:t>
            </w:r>
          </w:p>
        </w:tc>
        <w:tc>
          <w:tcPr>
            <w:tcW w:w="255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FB94E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Date, summary, and agreed expectations</w:t>
            </w:r>
          </w:p>
        </w:tc>
      </w:tr>
      <w:tr w:rsidR="00BC3E58" w:rsidRPr="00BC3E58" w14:paraId="086D1967" w14:textId="77777777" w:rsidTr="00BC3E58">
        <w:trPr>
          <w:tblHeader/>
        </w:trPr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55EAD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Written warning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DE62B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Repeated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behavior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, or more serious concerns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B3D8DD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A formal written notice with improvement goals and a timeframe</w:t>
            </w:r>
          </w:p>
        </w:tc>
        <w:tc>
          <w:tcPr>
            <w:tcW w:w="255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35693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Signed notice kept on file</w:t>
            </w:r>
          </w:p>
        </w:tc>
      </w:tr>
      <w:tr w:rsidR="00BC3E58" w:rsidRPr="00BC3E58" w14:paraId="384F06B4" w14:textId="77777777" w:rsidTr="00BC3E58">
        <w:trPr>
          <w:tblHeader/>
        </w:trPr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42948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Final warning or suspension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09714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Ongoing problems despite earlier warnings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0D7FE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A final notice, or paid or unpaid suspension, stating termination is next</w:t>
            </w:r>
          </w:p>
        </w:tc>
        <w:tc>
          <w:tcPr>
            <w:tcW w:w="255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B2389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Reasons, terms, and possible outcomes</w:t>
            </w:r>
          </w:p>
        </w:tc>
      </w:tr>
      <w:tr w:rsidR="00BC3E58" w:rsidRPr="00BC3E58" w14:paraId="5337D6C9" w14:textId="77777777" w:rsidTr="00BC3E58">
        <w:trPr>
          <w:tblHeader/>
        </w:trPr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0E941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>Termination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12F7D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  <w:lang w:val="en-US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Severe violations, or when earlier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action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has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 not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worked</w:t>
            </w:r>
          </w:p>
        </w:tc>
        <w:tc>
          <w:tcPr>
            <w:tcW w:w="25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7B630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  <w:lang w:val="en-US"/>
              </w:rPr>
            </w:pP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</w:rPr>
              <w:t xml:space="preserve">Ending employment </w:t>
            </w:r>
            <w:r w:rsidRPr="00BC3E58">
              <w:rPr>
                <w:rFonts w:ascii="Arial" w:eastAsia="IBM Plex Sans" w:hAnsi="Arial" w:cs="Arial"/>
                <w:color w:val="30206B" w:themeColor="text1"/>
                <w:sz w:val="21"/>
                <w:szCs w:val="21"/>
                <w:lang w:val="en-US"/>
              </w:rPr>
              <w:t>after a full review</w:t>
            </w:r>
          </w:p>
        </w:tc>
        <w:tc>
          <w:tcPr>
            <w:tcW w:w="255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2518DE" w14:textId="77777777" w:rsidR="00BC3E58" w:rsidRPr="00BC3E58" w:rsidRDefault="00BC3E58" w:rsidP="00BC3E58">
            <w:pPr>
              <w:spacing w:line="271" w:lineRule="auto"/>
              <w:rPr>
                <w:rFonts w:ascii="Arial" w:hAnsi="Arial" w:cs="Arial"/>
                <w:color w:val="30206B" w:themeColor="text1"/>
                <w:sz w:val="21"/>
                <w:szCs w:val="21"/>
                <w:lang w:val="en-US"/>
              </w:rPr>
            </w:pPr>
            <w:r w:rsidRPr="00BC3E58">
              <w:rPr>
                <w:rFonts w:ascii="Arial" w:hAnsi="Arial" w:cs="Arial"/>
                <w:color w:val="30206B" w:themeColor="text1"/>
                <w:sz w:val="21"/>
                <w:szCs w:val="21"/>
                <w:lang w:val="en-US"/>
              </w:rPr>
              <w:t>Complete disciplinary record</w:t>
            </w:r>
          </w:p>
        </w:tc>
      </w:tr>
    </w:tbl>
    <w:p w14:paraId="2037CA91" w14:textId="77777777" w:rsidR="00BC3E58" w:rsidRPr="00BC3E58" w:rsidRDefault="00BC3E58" w:rsidP="00BC3E58">
      <w:pPr>
        <w:spacing w:after="120" w:line="271" w:lineRule="auto"/>
        <w:rPr>
          <w:rFonts w:ascii="Arial" w:hAnsi="Arial" w:cs="Arial"/>
          <w:color w:val="30206B" w:themeColor="text1"/>
        </w:rPr>
      </w:pPr>
    </w:p>
    <w:p w14:paraId="1762E595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5. Escalation and timeframes</w:t>
      </w:r>
    </w:p>
    <w:p w14:paraId="480E54DA" w14:textId="77777777" w:rsidR="00BC3E58" w:rsidRPr="00BC3E58" w:rsidRDefault="00BC3E58" w:rsidP="00BC3E58">
      <w:pPr>
        <w:spacing w:before="240" w:after="160" w:line="271" w:lineRule="auto"/>
        <w:rPr>
          <w:rFonts w:ascii="Arial" w:eastAsia="IBM Plex Sans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Define how and when discipline escalates, and be specific. For example: “Three instances of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[tardiness]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within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[one month]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may result in a written warning.”</w:t>
      </w:r>
    </w:p>
    <w:p w14:paraId="68DA1339" w14:textId="69069A33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A warning stays active for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[X months]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. If no further problems arise in that period, it is considered resolved.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[Company Name]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may move directly to a later stage when the behavior is serious.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11205E5B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  <w:lang w:val="en-US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 xml:space="preserve">6. Serious misconduct and immediate </w:t>
      </w: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  <w:lang w:val="en-US"/>
        </w:rPr>
        <w:t>action</w:t>
      </w:r>
    </w:p>
    <w:p w14:paraId="21D08B13" w14:textId="3D568F9D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Gross misconduct may lead to immediate suspension pending investigation, or to termination, regardless of earlier corrective measures. Examples include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[violence, theft, harassment, being under the influence at work, or a major safety violation]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.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[Company Name]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will investigate before making a final decision.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58740C5A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7. Documentation and record-keeping</w:t>
      </w:r>
    </w:p>
    <w:p w14:paraId="770AB83A" w14:textId="77777777" w:rsidR="00BC3E58" w:rsidRPr="00BC3E58" w:rsidRDefault="00BC3E58" w:rsidP="00BC3E58">
      <w:pPr>
        <w:spacing w:before="240" w:after="160" w:line="271" w:lineRule="auto"/>
        <w:rPr>
          <w:rFonts w:ascii="Arial" w:eastAsia="IBM Plex Sans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For every step, note the date, the specific issue, the policy involved, the response taken, and the employee’s comments. Include who was present, along with any agreed follow-up and deadline.</w:t>
      </w:r>
    </w:p>
    <w:p w14:paraId="714A799C" w14:textId="3CD041E4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  <w:lang w:val="en-US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Store records securely and limit access in line with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[applicable data protection laws]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. Use a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[disciplinary action form]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so every warning and decision is documented in the same format.</w:t>
      </w:r>
      <w:r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br/>
      </w:r>
    </w:p>
    <w:p w14:paraId="51284F21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8. Roles and responsibilities</w:t>
      </w:r>
    </w:p>
    <w:p w14:paraId="12708FC4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  <w:lang w:val="en-US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  <w:lang w:val="en-US"/>
        </w:rPr>
        <w:t xml:space="preserve">Managers: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Spot problems early, hold the conversations, and document each action.</w:t>
      </w:r>
    </w:p>
    <w:p w14:paraId="0347FF77" w14:textId="77777777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HR: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Guide managers, ensure consistency, and maintain records.</w:t>
      </w:r>
    </w:p>
    <w:p w14:paraId="7C20209D" w14:textId="1C7CA916" w:rsidR="00BC3E58" w:rsidRPr="00BC3E58" w:rsidRDefault="00BC3E58" w:rsidP="00BC3E58">
      <w:pPr>
        <w:pStyle w:val="ListParagraph"/>
        <w:numPr>
          <w:ilvl w:val="0"/>
          <w:numId w:val="9"/>
        </w:numPr>
        <w:spacing w:after="80" w:line="271" w:lineRule="auto"/>
        <w:contextualSpacing w:val="0"/>
        <w:rPr>
          <w:rFonts w:ascii="Arial" w:hAnsi="Arial" w:cs="Arial"/>
          <w:color w:val="30206B" w:themeColor="text1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21"/>
          <w:szCs w:val="21"/>
        </w:rPr>
        <w:t xml:space="preserve">Employees: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Understand the policy, respond to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lang w:val="en-US"/>
        </w:rPr>
        <w:t>feedback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, and take part in improvement.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77902391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lastRenderedPageBreak/>
        <w:t>9. Employee rights and anti-retaliation</w:t>
      </w:r>
    </w:p>
    <w:p w14:paraId="6FB15E18" w14:textId="77777777" w:rsidR="00BC3E58" w:rsidRPr="00BC3E58" w:rsidRDefault="00BC3E58" w:rsidP="00BC3E58">
      <w:pPr>
        <w:spacing w:before="240" w:after="160" w:line="271" w:lineRule="auto"/>
        <w:rPr>
          <w:rFonts w:ascii="Arial" w:eastAsia="IBM Plex Sans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Employees have the right to understand the concern, respond to it, and appeal the outcome through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[appeal process]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. Where applicable, they may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[have a representative present]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.</w:t>
      </w:r>
    </w:p>
    <w:p w14:paraId="0273B8A2" w14:textId="756F81FD" w:rsidR="00BC3E58" w:rsidRPr="00BC3E58" w:rsidRDefault="00BC3E58" w:rsidP="00BC3E58">
      <w:pPr>
        <w:spacing w:before="240" w:after="160" w:line="271" w:lineRule="auto"/>
        <w:rPr>
          <w:rFonts w:ascii="Arial" w:hAnsi="Arial" w:cs="Arial"/>
          <w:color w:val="30206B" w:themeColor="text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[Company Name]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prohibits retaliation against anyone who raises a complaint, questions a decision, or takes part in an investigation.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br/>
      </w:r>
    </w:p>
    <w:p w14:paraId="2C7EC059" w14:textId="77777777" w:rsidR="00BC3E58" w:rsidRPr="00BC3E58" w:rsidRDefault="00BC3E58" w:rsidP="00BC3E58">
      <w:pPr>
        <w:shd w:val="clear" w:color="auto" w:fill="B0E7FF" w:themeFill="accent1"/>
        <w:spacing w:before="260" w:after="140" w:line="271" w:lineRule="auto"/>
        <w:rPr>
          <w:rFonts w:ascii="Arial" w:hAnsi="Arial" w:cs="Arial"/>
          <w:color w:val="30206B" w:themeColor="text1"/>
          <w:sz w:val="32"/>
          <w:szCs w:val="32"/>
        </w:rPr>
      </w:pPr>
      <w:r w:rsidRPr="00BC3E58">
        <w:rPr>
          <w:rFonts w:ascii="Arial" w:eastAsia="IBM Plex Sans" w:hAnsi="Arial" w:cs="Arial"/>
          <w:b/>
          <w:bCs/>
          <w:color w:val="30206B" w:themeColor="text1"/>
          <w:sz w:val="32"/>
          <w:szCs w:val="32"/>
        </w:rPr>
        <w:t>10. Policy review and updates</w:t>
      </w:r>
    </w:p>
    <w:p w14:paraId="09FB4FC0" w14:textId="48128ED3" w:rsidR="00BC3E58" w:rsidRPr="00BC3E58" w:rsidRDefault="00BC3E58" w:rsidP="00BC3E58">
      <w:pPr>
        <w:spacing w:before="240" w:after="160" w:line="271" w:lineRule="auto"/>
        <w:rPr>
          <w:rFonts w:ascii="Arial" w:eastAsia="IBM Plex Sans" w:hAnsi="Arial" w:cs="Arial"/>
          <w:color w:val="30206B" w:themeColor="text1"/>
          <w:sz w:val="21"/>
          <w:szCs w:val="21"/>
        </w:rPr>
      </w:pP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[Company Name]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will review this policy every 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  <w:highlight w:val="yellow"/>
        </w:rPr>
        <w:t>[12]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 xml:space="preserve"> months, or sooner if laws or business needs change. Employees are encouraged to share feedback so it stays accurate an</w:t>
      </w:r>
      <w:r w:rsidRPr="00BC3E58">
        <w:rPr>
          <w:rFonts w:ascii="Arial" w:eastAsia="IBM Plex Sans" w:hAnsi="Arial" w:cs="Arial"/>
          <w:color w:val="30206B" w:themeColor="text1"/>
          <w:sz w:val="21"/>
          <w:szCs w:val="21"/>
        </w:rPr>
        <w:t>d useful</w:t>
      </w:r>
      <w:r>
        <w:rPr>
          <w:rFonts w:ascii="Arial" w:eastAsia="IBM Plex Sans" w:hAnsi="Arial" w:cs="Arial"/>
          <w:color w:val="30206B" w:themeColor="text1"/>
          <w:sz w:val="21"/>
          <w:szCs w:val="21"/>
        </w:rPr>
        <w:t>.</w:t>
      </w:r>
    </w:p>
    <w:sectPr w:rsidR="00BC3E58" w:rsidRPr="00BC3E58" w:rsidSect="00BC3E58">
      <w:footerReference w:type="even" r:id="rId9"/>
      <w:footerReference w:type="default" r:id="rId10"/>
      <w:pgSz w:w="11906" w:h="16838"/>
      <w:pgMar w:top="964" w:right="964" w:bottom="96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03760" w14:textId="77777777" w:rsidR="007631F6" w:rsidRDefault="007631F6" w:rsidP="00A42BA7">
      <w:r>
        <w:separator/>
      </w:r>
    </w:p>
  </w:endnote>
  <w:endnote w:type="continuationSeparator" w:id="0">
    <w:p w14:paraId="70F568EE" w14:textId="77777777" w:rsidR="007631F6" w:rsidRDefault="007631F6" w:rsidP="00A42BA7">
      <w:r>
        <w:continuationSeparator/>
      </w:r>
    </w:p>
  </w:endnote>
  <w:endnote w:type="continuationNotice" w:id="1">
    <w:p w14:paraId="296D2D9E" w14:textId="77777777" w:rsidR="007631F6" w:rsidRDefault="007631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63348190"/>
      <w:docPartObj>
        <w:docPartGallery w:val="Page Numbers (Bottom of Page)"/>
        <w:docPartUnique/>
      </w:docPartObj>
    </w:sdtPr>
    <w:sdtContent>
      <w:p w14:paraId="5E8CBF1A" w14:textId="77777777" w:rsidR="00A42BA7" w:rsidRDefault="00A42BA7" w:rsidP="002425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8C3C0F" w14:textId="77777777" w:rsidR="00A42BA7" w:rsidRDefault="00A42BA7" w:rsidP="00A42B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b/>
        <w:bCs/>
        <w:color w:val="30206B" w:themeColor="text1"/>
        <w:sz w:val="22"/>
        <w:szCs w:val="22"/>
      </w:rPr>
      <w:id w:val="532161761"/>
      <w:docPartObj>
        <w:docPartGallery w:val="Page Numbers (Bottom of Page)"/>
        <w:docPartUnique/>
      </w:docPartObj>
    </w:sdtPr>
    <w:sdtEndPr>
      <w:rPr>
        <w:rStyle w:val="PageNumber"/>
        <w:sz w:val="18"/>
        <w:szCs w:val="18"/>
      </w:rPr>
    </w:sdtEndPr>
    <w:sdtContent>
      <w:p w14:paraId="0140A795" w14:textId="77777777" w:rsidR="00A42BA7" w:rsidRPr="00E47AC1" w:rsidRDefault="00A42BA7" w:rsidP="0024256B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b/>
            <w:bCs/>
            <w:color w:val="1EBBF0" w:themeColor="text2"/>
            <w:sz w:val="22"/>
            <w:szCs w:val="22"/>
          </w:rPr>
        </w:pP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begin"/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instrText xml:space="preserve"> PAGE </w:instrText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separate"/>
        </w:r>
        <w:r w:rsidRPr="00AF3527">
          <w:rPr>
            <w:rStyle w:val="PageNumber"/>
            <w:rFonts w:ascii="Arial" w:hAnsi="Arial" w:cs="Arial"/>
            <w:b/>
            <w:bCs/>
            <w:noProof/>
            <w:color w:val="30206B" w:themeColor="text1"/>
            <w:sz w:val="22"/>
            <w:szCs w:val="22"/>
          </w:rPr>
          <w:t>1</w:t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end"/>
        </w:r>
      </w:p>
    </w:sdtContent>
  </w:sdt>
  <w:p w14:paraId="2869B4C8" w14:textId="77777777" w:rsidR="00A42BA7" w:rsidRPr="00E47AC1" w:rsidRDefault="00E47AC1" w:rsidP="00A42BA7">
    <w:pPr>
      <w:pStyle w:val="Footer"/>
      <w:ind w:right="360"/>
      <w:rPr>
        <w:color w:val="1EBBF0" w:themeColor="text2"/>
      </w:rPr>
    </w:pPr>
    <w:r w:rsidRPr="00E47AC1">
      <w:rPr>
        <w:noProof/>
        <w:color w:val="1EBBF0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D2854F" wp14:editId="532185B0">
              <wp:simplePos x="0" y="0"/>
              <wp:positionH relativeFrom="column">
                <wp:posOffset>-603682</wp:posOffset>
              </wp:positionH>
              <wp:positionV relativeFrom="paragraph">
                <wp:posOffset>459105</wp:posOffset>
              </wp:positionV>
              <wp:extent cx="7557477" cy="179754"/>
              <wp:effectExtent l="0" t="0" r="0" b="0"/>
              <wp:wrapNone/>
              <wp:docPr id="759351170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7477" cy="179754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DB9631" id="Rectangle 3" o:spid="_x0000_s1026" style="position:absolute;margin-left:-47.55pt;margin-top:36.15pt;width:595.1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" fillcolor="#e9faff [3214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2AC836" w14:textId="77777777" w:rsidR="007631F6" w:rsidRDefault="007631F6" w:rsidP="00A42BA7">
      <w:r>
        <w:separator/>
      </w:r>
    </w:p>
  </w:footnote>
  <w:footnote w:type="continuationSeparator" w:id="0">
    <w:p w14:paraId="3AFAC9EE" w14:textId="77777777" w:rsidR="007631F6" w:rsidRDefault="007631F6" w:rsidP="00A42BA7">
      <w:r>
        <w:continuationSeparator/>
      </w:r>
    </w:p>
  </w:footnote>
  <w:footnote w:type="continuationNotice" w:id="1">
    <w:p w14:paraId="1BE7DD49" w14:textId="77777777" w:rsidR="007631F6" w:rsidRDefault="007631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A42E27"/>
    <w:multiLevelType w:val="hybridMultilevel"/>
    <w:tmpl w:val="8F5A161E"/>
    <w:lvl w:ilvl="0" w:tplc="D966D996">
      <w:start w:val="1"/>
      <w:numFmt w:val="bullet"/>
      <w:lvlText w:val="•"/>
      <w:lvlJc w:val="left"/>
      <w:pPr>
        <w:ind w:left="460" w:hanging="260"/>
      </w:pPr>
      <w:rPr>
        <w:color w:val="30206B"/>
      </w:rPr>
    </w:lvl>
    <w:lvl w:ilvl="1" w:tplc="D988F88C">
      <w:numFmt w:val="decimal"/>
      <w:lvlText w:val=""/>
      <w:lvlJc w:val="left"/>
    </w:lvl>
    <w:lvl w:ilvl="2" w:tplc="D85A717C">
      <w:numFmt w:val="decimal"/>
      <w:lvlText w:val=""/>
      <w:lvlJc w:val="left"/>
    </w:lvl>
    <w:lvl w:ilvl="3" w:tplc="068EE642">
      <w:numFmt w:val="decimal"/>
      <w:lvlText w:val=""/>
      <w:lvlJc w:val="left"/>
    </w:lvl>
    <w:lvl w:ilvl="4" w:tplc="122ED016">
      <w:numFmt w:val="decimal"/>
      <w:lvlText w:val=""/>
      <w:lvlJc w:val="left"/>
    </w:lvl>
    <w:lvl w:ilvl="5" w:tplc="70FA91E0">
      <w:numFmt w:val="decimal"/>
      <w:lvlText w:val=""/>
      <w:lvlJc w:val="left"/>
    </w:lvl>
    <w:lvl w:ilvl="6" w:tplc="DAC44EBE">
      <w:numFmt w:val="decimal"/>
      <w:lvlText w:val=""/>
      <w:lvlJc w:val="left"/>
    </w:lvl>
    <w:lvl w:ilvl="7" w:tplc="50A42AF6">
      <w:numFmt w:val="decimal"/>
      <w:lvlText w:val=""/>
      <w:lvlJc w:val="left"/>
    </w:lvl>
    <w:lvl w:ilvl="8" w:tplc="93E2CDF0">
      <w:numFmt w:val="decimal"/>
      <w:lvlText w:val=""/>
      <w:lvlJc w:val="left"/>
    </w:lvl>
  </w:abstractNum>
  <w:abstractNum w:abstractNumId="1" w15:restartNumberingAfterBreak="0">
    <w:nsid w:val="271B6F18"/>
    <w:multiLevelType w:val="hybridMultilevel"/>
    <w:tmpl w:val="84981B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E773A"/>
    <w:multiLevelType w:val="hybridMultilevel"/>
    <w:tmpl w:val="7674B4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152F2D"/>
    <w:multiLevelType w:val="hybridMultilevel"/>
    <w:tmpl w:val="AC560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02863"/>
    <w:multiLevelType w:val="hybridMultilevel"/>
    <w:tmpl w:val="6F36C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A5A39"/>
    <w:multiLevelType w:val="hybridMultilevel"/>
    <w:tmpl w:val="E69ECBB0"/>
    <w:lvl w:ilvl="0" w:tplc="0809000F">
      <w:start w:val="1"/>
      <w:numFmt w:val="decimal"/>
      <w:lvlText w:val="%1."/>
      <w:lvlJc w:val="left"/>
      <w:pPr>
        <w:ind w:left="775" w:hanging="360"/>
      </w:p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 w15:restartNumberingAfterBreak="0">
    <w:nsid w:val="68D91E1D"/>
    <w:multiLevelType w:val="multilevel"/>
    <w:tmpl w:val="6F36CD9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45360"/>
    <w:multiLevelType w:val="hybridMultilevel"/>
    <w:tmpl w:val="98A8D16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8A26EA"/>
    <w:multiLevelType w:val="hybridMultilevel"/>
    <w:tmpl w:val="194E25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446">
    <w:abstractNumId w:val="1"/>
  </w:num>
  <w:num w:numId="2" w16cid:durableId="537937889">
    <w:abstractNumId w:val="4"/>
  </w:num>
  <w:num w:numId="3" w16cid:durableId="2020616956">
    <w:abstractNumId w:val="6"/>
  </w:num>
  <w:num w:numId="4" w16cid:durableId="1615331936">
    <w:abstractNumId w:val="3"/>
  </w:num>
  <w:num w:numId="5" w16cid:durableId="1541630164">
    <w:abstractNumId w:val="5"/>
  </w:num>
  <w:num w:numId="6" w16cid:durableId="1653439095">
    <w:abstractNumId w:val="8"/>
  </w:num>
  <w:num w:numId="7" w16cid:durableId="1283924644">
    <w:abstractNumId w:val="2"/>
  </w:num>
  <w:num w:numId="8" w16cid:durableId="1246452327">
    <w:abstractNumId w:val="7"/>
  </w:num>
  <w:num w:numId="9" w16cid:durableId="8942015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58"/>
    <w:rsid w:val="00094EB1"/>
    <w:rsid w:val="000B43B7"/>
    <w:rsid w:val="000C118B"/>
    <w:rsid w:val="00105417"/>
    <w:rsid w:val="00141A4E"/>
    <w:rsid w:val="001668F2"/>
    <w:rsid w:val="00185EFA"/>
    <w:rsid w:val="001B1367"/>
    <w:rsid w:val="001B5A69"/>
    <w:rsid w:val="00216458"/>
    <w:rsid w:val="00221D3C"/>
    <w:rsid w:val="002F4BAA"/>
    <w:rsid w:val="003029DB"/>
    <w:rsid w:val="0033373D"/>
    <w:rsid w:val="00341EBC"/>
    <w:rsid w:val="00372A4C"/>
    <w:rsid w:val="003854A6"/>
    <w:rsid w:val="003923EF"/>
    <w:rsid w:val="003B30C9"/>
    <w:rsid w:val="003C0B39"/>
    <w:rsid w:val="0047538D"/>
    <w:rsid w:val="004E35A7"/>
    <w:rsid w:val="00547A2D"/>
    <w:rsid w:val="005A2C7C"/>
    <w:rsid w:val="00603721"/>
    <w:rsid w:val="00671FAA"/>
    <w:rsid w:val="006931AD"/>
    <w:rsid w:val="006B015E"/>
    <w:rsid w:val="006E4B7A"/>
    <w:rsid w:val="00732C53"/>
    <w:rsid w:val="007631F6"/>
    <w:rsid w:val="007F6A48"/>
    <w:rsid w:val="00804407"/>
    <w:rsid w:val="008C70A9"/>
    <w:rsid w:val="009260AC"/>
    <w:rsid w:val="0094655A"/>
    <w:rsid w:val="009F5452"/>
    <w:rsid w:val="00A27B76"/>
    <w:rsid w:val="00A42BA7"/>
    <w:rsid w:val="00A75802"/>
    <w:rsid w:val="00AA2A30"/>
    <w:rsid w:val="00AF3527"/>
    <w:rsid w:val="00B07570"/>
    <w:rsid w:val="00B27FD8"/>
    <w:rsid w:val="00B847FA"/>
    <w:rsid w:val="00BB739B"/>
    <w:rsid w:val="00BC3E58"/>
    <w:rsid w:val="00BC6849"/>
    <w:rsid w:val="00C17F51"/>
    <w:rsid w:val="00C17F76"/>
    <w:rsid w:val="00C42FD6"/>
    <w:rsid w:val="00C95340"/>
    <w:rsid w:val="00CA712F"/>
    <w:rsid w:val="00CD0377"/>
    <w:rsid w:val="00D10603"/>
    <w:rsid w:val="00D32565"/>
    <w:rsid w:val="00D5111B"/>
    <w:rsid w:val="00D5242B"/>
    <w:rsid w:val="00D52CEC"/>
    <w:rsid w:val="00D61A91"/>
    <w:rsid w:val="00D6774D"/>
    <w:rsid w:val="00DD0058"/>
    <w:rsid w:val="00DD3D50"/>
    <w:rsid w:val="00DD6722"/>
    <w:rsid w:val="00E247DC"/>
    <w:rsid w:val="00E261DB"/>
    <w:rsid w:val="00E47AC1"/>
    <w:rsid w:val="00E961A9"/>
    <w:rsid w:val="00EB240E"/>
    <w:rsid w:val="00ED369A"/>
    <w:rsid w:val="00EE29C6"/>
    <w:rsid w:val="00EE7994"/>
    <w:rsid w:val="00F008EA"/>
    <w:rsid w:val="00F03EBA"/>
    <w:rsid w:val="00F66B15"/>
    <w:rsid w:val="00F73BA2"/>
    <w:rsid w:val="00F77343"/>
    <w:rsid w:val="00FC4137"/>
    <w:rsid w:val="158D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99B3EC5"/>
  <w15:chartTrackingRefBased/>
  <w15:docId w15:val="{51E53D50-32C6-E34B-95EA-EED3EC9A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961A9"/>
    <w:pPr>
      <w:ind w:left="720"/>
      <w:contextualSpacing/>
    </w:pPr>
  </w:style>
  <w:style w:type="numbering" w:customStyle="1" w:styleId="CurrentList1">
    <w:name w:val="Current List1"/>
    <w:uiPriority w:val="99"/>
    <w:rsid w:val="00E961A9"/>
    <w:pPr>
      <w:numPr>
        <w:numId w:val="3"/>
      </w:numPr>
    </w:pPr>
  </w:style>
  <w:style w:type="table" w:styleId="TableGrid">
    <w:name w:val="Table Grid"/>
    <w:basedOn w:val="TableNormal"/>
    <w:uiPriority w:val="39"/>
    <w:rsid w:val="00E96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42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BA7"/>
  </w:style>
  <w:style w:type="character" w:styleId="PageNumber">
    <w:name w:val="page number"/>
    <w:basedOn w:val="DefaultParagraphFont"/>
    <w:uiPriority w:val="99"/>
    <w:semiHidden/>
    <w:unhideWhenUsed/>
    <w:rsid w:val="00A42BA7"/>
  </w:style>
  <w:style w:type="paragraph" w:styleId="Header">
    <w:name w:val="header"/>
    <w:basedOn w:val="Normal"/>
    <w:link w:val="HeaderChar"/>
    <w:uiPriority w:val="99"/>
    <w:unhideWhenUsed/>
    <w:rsid w:val="00A42B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BA7"/>
  </w:style>
  <w:style w:type="character" w:styleId="CommentReference">
    <w:name w:val="annotation reference"/>
    <w:basedOn w:val="DefaultParagraphFont"/>
    <w:uiPriority w:val="99"/>
    <w:semiHidden/>
    <w:unhideWhenUsed/>
    <w:rsid w:val="00EE29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29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9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oukdejong/Library/Group%20Containers/UBF8T346G9.Office/User%20Content.localized/Templates.localized/Word%20doc%20resource%20template%20%5bdesign%5d%20-%20Q2%202024.dotx" TargetMode="External"/></Relationships>
</file>

<file path=word/theme/theme1.xml><?xml version="1.0" encoding="utf-8"?>
<a:theme xmlns:a="http://schemas.openxmlformats.org/drawingml/2006/main" name="AIHR">
  <a:themeElements>
    <a:clrScheme name="AIHR Color Palette">
      <a:dk1>
        <a:srgbClr val="30206B"/>
      </a:dk1>
      <a:lt1>
        <a:srgbClr val="FFFFFF"/>
      </a:lt1>
      <a:dk2>
        <a:srgbClr val="1EBBF0"/>
      </a:dk2>
      <a:lt2>
        <a:srgbClr val="E9FAFF"/>
      </a:lt2>
      <a:accent1>
        <a:srgbClr val="B0E7FF"/>
      </a:accent1>
      <a:accent2>
        <a:srgbClr val="5D5CFF"/>
      </a:accent2>
      <a:accent3>
        <a:srgbClr val="00A0AF"/>
      </a:accent3>
      <a:accent4>
        <a:srgbClr val="FFAB00"/>
      </a:accent4>
      <a:accent5>
        <a:srgbClr val="F35C0F"/>
      </a:accent5>
      <a:accent6>
        <a:srgbClr val="E32C34"/>
      </a:accent6>
      <a:hlink>
        <a:srgbClr val="1EBBF0"/>
      </a:hlink>
      <a:folHlink>
        <a:srgbClr val="30206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19050">
          <a:solidFill>
            <a:schemeClr val="accent1"/>
          </a:solidFill>
        </a:ln>
      </a:spPr>
      <a:bodyPr wrap="square" lIns="0" tIns="0" rIns="0" bIns="0" rtlCol="0" anchor="ctr">
        <a:noAutofit/>
      </a:bodyPr>
      <a:lstStyle>
        <a:defPPr algn="ctr">
          <a:defRPr sz="1800" b="1" i="1" dirty="0" smtClean="0">
            <a:solidFill>
              <a:schemeClr val="tx1"/>
            </a:solidFill>
            <a:latin typeface="Bitter SemiBold" pitchFamily="2" charset="77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AIHR" id="{0F6138D7-BE84-C544-AC11-16CEAAE799AE}" vid="{49D404AF-B30C-8C45-933A-179CB87223B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7F399-CD42-2C4C-8FC1-B55060CD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 resource template [design] - Q2 2024.dotx</Template>
  <TotalTime>9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de Jong</dc:creator>
  <cp:keywords/>
  <dc:description/>
  <cp:lastModifiedBy>Anouk</cp:lastModifiedBy>
  <cp:revision>2</cp:revision>
  <dcterms:created xsi:type="dcterms:W3CDTF">2026-08-31T13:34:00Z</dcterms:created>
  <dcterms:modified xsi:type="dcterms:W3CDTF">2026-08-31T13:44:00Z</dcterms:modified>
</cp:coreProperties>
</file>